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F7" w:rsidRPr="008168A0" w:rsidRDefault="00412120" w:rsidP="00441984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62F2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81025" cy="714375"/>
            <wp:effectExtent l="0" t="0" r="9525" b="9525"/>
            <wp:docPr id="2" name="Рисунок 2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7F7" w:rsidRPr="008168A0" w:rsidRDefault="009277F7" w:rsidP="009069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68A0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9277F7" w:rsidRPr="008168A0" w:rsidRDefault="009277F7" w:rsidP="00906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168A0">
        <w:rPr>
          <w:rFonts w:ascii="Times New Roman" w:hAnsi="Times New Roman"/>
          <w:b/>
          <w:sz w:val="28"/>
          <w:szCs w:val="28"/>
          <w:lang w:eastAsia="ru-RU"/>
        </w:rPr>
        <w:t xml:space="preserve">ВЕРХНЕПАШИНСКИЙ СЕЛЬСКИЙ СОВЕТ ДЕПУТАТОВ </w:t>
      </w:r>
    </w:p>
    <w:p w:rsidR="009277F7" w:rsidRPr="008168A0" w:rsidRDefault="009277F7" w:rsidP="009069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68A0">
        <w:rPr>
          <w:rFonts w:ascii="Times New Roman" w:hAnsi="Times New Roman"/>
          <w:sz w:val="28"/>
          <w:szCs w:val="28"/>
          <w:lang w:eastAsia="ru-RU"/>
        </w:rPr>
        <w:t>ЕНИСЕЙСКОГО РАЙОНА</w:t>
      </w:r>
    </w:p>
    <w:p w:rsidR="009277F7" w:rsidRPr="008168A0" w:rsidRDefault="009277F7" w:rsidP="009069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68A0"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</w:p>
    <w:p w:rsidR="009277F7" w:rsidRPr="008168A0" w:rsidRDefault="009277F7" w:rsidP="00906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168A0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9277F7" w:rsidRPr="008168A0" w:rsidRDefault="009277F7" w:rsidP="009069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77F7" w:rsidRPr="008168A0" w:rsidRDefault="009277F7" w:rsidP="009069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68A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73C73">
        <w:rPr>
          <w:rFonts w:ascii="Times New Roman" w:hAnsi="Times New Roman"/>
          <w:sz w:val="28"/>
          <w:szCs w:val="28"/>
          <w:lang w:eastAsia="ru-RU"/>
        </w:rPr>
        <w:t>___________</w:t>
      </w:r>
      <w:r w:rsidRPr="008168A0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168A0">
        <w:rPr>
          <w:rFonts w:ascii="Times New Roman" w:hAnsi="Times New Roman"/>
          <w:sz w:val="28"/>
          <w:szCs w:val="28"/>
          <w:lang w:eastAsia="ru-RU"/>
        </w:rPr>
        <w:t xml:space="preserve">  с. Верхнепашино              </w:t>
      </w:r>
      <w:r w:rsidR="005373AD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168A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273C73">
        <w:rPr>
          <w:rFonts w:ascii="Times New Roman" w:hAnsi="Times New Roman"/>
          <w:sz w:val="28"/>
          <w:szCs w:val="28"/>
          <w:lang w:eastAsia="ru-RU"/>
        </w:rPr>
        <w:t>ПРОЕКТ</w:t>
      </w:r>
      <w:bookmarkStart w:id="0" w:name="_GoBack"/>
      <w:bookmarkEnd w:id="0"/>
    </w:p>
    <w:p w:rsidR="009277F7" w:rsidRPr="008168A0" w:rsidRDefault="009277F7" w:rsidP="00906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77F7" w:rsidRDefault="009277F7" w:rsidP="00206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168A0">
        <w:rPr>
          <w:rFonts w:ascii="Times New Roman" w:hAnsi="Times New Roman"/>
          <w:b/>
          <w:bCs/>
          <w:sz w:val="28"/>
          <w:szCs w:val="28"/>
        </w:rPr>
        <w:t>Об утверждении схемы размещения нестационарных торговых объектов на территории Верхнепашинского сельсовета Енисейского района Красноярского края</w:t>
      </w:r>
    </w:p>
    <w:p w:rsidR="00167F47" w:rsidRPr="008168A0" w:rsidRDefault="00167F47" w:rsidP="00206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77F7" w:rsidRPr="008168A0" w:rsidRDefault="009277F7" w:rsidP="008A7C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168A0">
        <w:rPr>
          <w:rFonts w:ascii="Times New Roman" w:hAnsi="Times New Roman"/>
          <w:bCs/>
          <w:sz w:val="28"/>
          <w:szCs w:val="28"/>
        </w:rPr>
        <w:t xml:space="preserve">В соответствии со статьей 10 Федерального закона от 28.12.2009    </w:t>
      </w:r>
      <w:r w:rsidR="00950861">
        <w:rPr>
          <w:rFonts w:ascii="Times New Roman" w:hAnsi="Times New Roman"/>
          <w:bCs/>
          <w:sz w:val="28"/>
          <w:szCs w:val="28"/>
        </w:rPr>
        <w:t xml:space="preserve">            </w:t>
      </w:r>
      <w:r w:rsidRPr="008168A0">
        <w:rPr>
          <w:rFonts w:ascii="Times New Roman" w:hAnsi="Times New Roman"/>
          <w:bCs/>
          <w:sz w:val="28"/>
          <w:szCs w:val="28"/>
        </w:rPr>
        <w:t xml:space="preserve">№ 381-ФЗ «Об основах государственного регулирования торговой деятельности в Российской Федерации», статьей 4  Закона Красноярского края от 30.06.2011 № 12-6090 «Об отдельных вопросах государственного регулирования торговой деятельности на территории Красноярского края», </w:t>
      </w:r>
      <w:r w:rsidR="00412120">
        <w:rPr>
          <w:rFonts w:ascii="Times New Roman" w:hAnsi="Times New Roman"/>
          <w:bCs/>
          <w:sz w:val="28"/>
          <w:szCs w:val="28"/>
        </w:rPr>
        <w:t>П</w:t>
      </w:r>
      <w:r w:rsidR="00950861" w:rsidRPr="00950861">
        <w:rPr>
          <w:rFonts w:ascii="Times New Roman" w:hAnsi="Times New Roman"/>
          <w:bCs/>
          <w:sz w:val="28"/>
          <w:szCs w:val="28"/>
        </w:rPr>
        <w:t xml:space="preserve">риказом министерства промышленности и торговли Красноярского края от </w:t>
      </w:r>
      <w:r w:rsidR="00412120">
        <w:rPr>
          <w:rFonts w:ascii="Times New Roman" w:hAnsi="Times New Roman"/>
          <w:bCs/>
          <w:sz w:val="28"/>
          <w:szCs w:val="28"/>
        </w:rPr>
        <w:t>12</w:t>
      </w:r>
      <w:r w:rsidR="00950861" w:rsidRPr="00950861">
        <w:rPr>
          <w:rFonts w:ascii="Times New Roman" w:hAnsi="Times New Roman"/>
          <w:bCs/>
          <w:sz w:val="28"/>
          <w:szCs w:val="28"/>
        </w:rPr>
        <w:t>.11.20</w:t>
      </w:r>
      <w:r w:rsidR="00412120">
        <w:rPr>
          <w:rFonts w:ascii="Times New Roman" w:hAnsi="Times New Roman"/>
          <w:bCs/>
          <w:sz w:val="28"/>
          <w:szCs w:val="28"/>
        </w:rPr>
        <w:t>24</w:t>
      </w:r>
      <w:r w:rsidR="00950861" w:rsidRPr="00950861">
        <w:rPr>
          <w:rFonts w:ascii="Times New Roman" w:hAnsi="Times New Roman"/>
          <w:bCs/>
          <w:sz w:val="28"/>
          <w:szCs w:val="28"/>
        </w:rPr>
        <w:t xml:space="preserve"> № </w:t>
      </w:r>
      <w:r w:rsidR="00412120">
        <w:rPr>
          <w:rFonts w:ascii="Times New Roman" w:hAnsi="Times New Roman"/>
          <w:bCs/>
          <w:sz w:val="28"/>
          <w:szCs w:val="28"/>
        </w:rPr>
        <w:t>27-Н «Об установлении П</w:t>
      </w:r>
      <w:r w:rsidR="00950861" w:rsidRPr="00950861">
        <w:rPr>
          <w:rFonts w:ascii="Times New Roman" w:hAnsi="Times New Roman"/>
          <w:bCs/>
          <w:sz w:val="28"/>
          <w:szCs w:val="28"/>
        </w:rPr>
        <w:t>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</w:t>
      </w:r>
      <w:r w:rsidR="00412120">
        <w:rPr>
          <w:rFonts w:ascii="Times New Roman" w:hAnsi="Times New Roman"/>
          <w:bCs/>
          <w:sz w:val="28"/>
          <w:szCs w:val="28"/>
        </w:rPr>
        <w:t xml:space="preserve"> </w:t>
      </w:r>
      <w:r w:rsidR="00950861" w:rsidRPr="00950861">
        <w:rPr>
          <w:rFonts w:ascii="Times New Roman" w:hAnsi="Times New Roman"/>
          <w:bCs/>
          <w:sz w:val="28"/>
          <w:szCs w:val="28"/>
        </w:rPr>
        <w:t>края»,</w:t>
      </w:r>
      <w:r w:rsidR="00950861">
        <w:rPr>
          <w:rFonts w:ascii="Times New Roman" w:hAnsi="Times New Roman"/>
          <w:bCs/>
          <w:sz w:val="28"/>
          <w:szCs w:val="28"/>
        </w:rPr>
        <w:t xml:space="preserve"> </w:t>
      </w:r>
      <w:r w:rsidRPr="008168A0">
        <w:rPr>
          <w:rFonts w:ascii="Times New Roman" w:hAnsi="Times New Roman"/>
          <w:bCs/>
          <w:sz w:val="28"/>
          <w:szCs w:val="28"/>
        </w:rPr>
        <w:t xml:space="preserve">руководствуясь статьей 30 Устава Верхнепашинского сельсовета Енисейского района Красноярского края Верхнепашинский сельский Совет депутатов Енисейского района Красноярского края РЕШИЛ: </w:t>
      </w:r>
    </w:p>
    <w:p w:rsidR="009277F7" w:rsidRDefault="00950861" w:rsidP="008A7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277F7" w:rsidRPr="008168A0">
        <w:rPr>
          <w:rFonts w:ascii="Times New Roman" w:hAnsi="Times New Roman"/>
          <w:bCs/>
          <w:sz w:val="28"/>
          <w:szCs w:val="28"/>
        </w:rPr>
        <w:t xml:space="preserve">1. Утвердить </w:t>
      </w:r>
      <w:hyperlink r:id="rId7" w:history="1">
        <w:r w:rsidR="009277F7" w:rsidRPr="008168A0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схему</w:t>
        </w:r>
      </w:hyperlink>
      <w:r w:rsidR="009277F7" w:rsidRPr="008168A0">
        <w:rPr>
          <w:rFonts w:ascii="Times New Roman" w:hAnsi="Times New Roman"/>
          <w:bCs/>
          <w:sz w:val="28"/>
          <w:szCs w:val="28"/>
        </w:rPr>
        <w:t xml:space="preserve"> размещения нестационарных торговых объектов на территории Верхнепашинского сельсовета Енисейского района Красноярского края согласно приложению.</w:t>
      </w:r>
    </w:p>
    <w:p w:rsidR="00604002" w:rsidRPr="008168A0" w:rsidRDefault="00604002" w:rsidP="006040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604002">
        <w:rPr>
          <w:rFonts w:ascii="Times New Roman" w:eastAsia="Times New Roman" w:hAnsi="Times New Roman"/>
          <w:sz w:val="28"/>
          <w:szCs w:val="28"/>
        </w:rPr>
        <w:t>.</w:t>
      </w:r>
      <w:r w:rsidRPr="00604002">
        <w:rPr>
          <w:rFonts w:eastAsia="Times New Roman" w:cs="Calibri"/>
        </w:rPr>
        <w:t xml:space="preserve"> </w:t>
      </w:r>
      <w:r w:rsidRPr="00604002">
        <w:rPr>
          <w:rFonts w:ascii="Times New Roman" w:eastAsia="Times New Roman" w:hAnsi="Times New Roman"/>
          <w:sz w:val="28"/>
          <w:szCs w:val="28"/>
        </w:rPr>
        <w:t xml:space="preserve">Признать утратившим силу Решение Верхнепашинского сельского Совета депутатов   от </w:t>
      </w:r>
      <w:r w:rsidR="00412120">
        <w:rPr>
          <w:rFonts w:ascii="Times New Roman" w:eastAsia="Times New Roman" w:hAnsi="Times New Roman"/>
          <w:sz w:val="28"/>
          <w:szCs w:val="28"/>
        </w:rPr>
        <w:t>31</w:t>
      </w:r>
      <w:r w:rsidRPr="00604002">
        <w:rPr>
          <w:rFonts w:ascii="Times New Roman" w:eastAsia="Times New Roman" w:hAnsi="Times New Roman"/>
          <w:sz w:val="28"/>
          <w:szCs w:val="28"/>
        </w:rPr>
        <w:t>.0</w:t>
      </w:r>
      <w:r w:rsidR="00412120">
        <w:rPr>
          <w:rFonts w:ascii="Times New Roman" w:eastAsia="Times New Roman" w:hAnsi="Times New Roman"/>
          <w:sz w:val="28"/>
          <w:szCs w:val="28"/>
        </w:rPr>
        <w:t>1</w:t>
      </w:r>
      <w:r w:rsidRPr="00604002">
        <w:rPr>
          <w:rFonts w:ascii="Times New Roman" w:eastAsia="Times New Roman" w:hAnsi="Times New Roman"/>
          <w:sz w:val="28"/>
          <w:szCs w:val="28"/>
        </w:rPr>
        <w:t>.201</w:t>
      </w:r>
      <w:r w:rsidR="00412120">
        <w:rPr>
          <w:rFonts w:ascii="Times New Roman" w:eastAsia="Times New Roman" w:hAnsi="Times New Roman"/>
          <w:sz w:val="28"/>
          <w:szCs w:val="28"/>
        </w:rPr>
        <w:t>8</w:t>
      </w:r>
      <w:r w:rsidRPr="00604002">
        <w:rPr>
          <w:rFonts w:ascii="Times New Roman" w:eastAsia="Times New Roman" w:hAnsi="Times New Roman"/>
          <w:sz w:val="28"/>
          <w:szCs w:val="28"/>
        </w:rPr>
        <w:t xml:space="preserve">г.  № </w:t>
      </w:r>
      <w:r w:rsidR="00412120">
        <w:rPr>
          <w:rFonts w:ascii="Times New Roman" w:eastAsia="Times New Roman" w:hAnsi="Times New Roman"/>
          <w:sz w:val="28"/>
          <w:szCs w:val="28"/>
        </w:rPr>
        <w:t>28-88</w:t>
      </w:r>
      <w:r w:rsidRPr="00604002">
        <w:rPr>
          <w:rFonts w:ascii="Times New Roman" w:eastAsia="Times New Roman" w:hAnsi="Times New Roman"/>
          <w:sz w:val="28"/>
          <w:szCs w:val="28"/>
        </w:rPr>
        <w:t>р «Об утверждении схемы размещения нестационарных торговых объектов на территории Верхнепашинского сельсовета Енисейского района Красноярского края».</w:t>
      </w:r>
    </w:p>
    <w:p w:rsidR="00412120" w:rsidRDefault="00950861" w:rsidP="008A7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C10050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9277F7" w:rsidRPr="008168A0">
        <w:rPr>
          <w:rFonts w:ascii="Times New Roman" w:hAnsi="Times New Roman"/>
          <w:bCs/>
          <w:sz w:val="28"/>
          <w:szCs w:val="28"/>
          <w:lang w:eastAsia="ru-RU"/>
        </w:rPr>
        <w:t xml:space="preserve">. Главе Верхнепашинского сельсовета Енисейского района Красноярского края в течение 10 дней со дня принятия настоящего решения направить копию в министерство </w:t>
      </w:r>
      <w:r w:rsidR="00412120">
        <w:rPr>
          <w:rFonts w:ascii="Times New Roman" w:hAnsi="Times New Roman"/>
          <w:bCs/>
          <w:sz w:val="28"/>
          <w:szCs w:val="28"/>
          <w:lang w:eastAsia="ru-RU"/>
        </w:rPr>
        <w:t>промышленности и торговли Красноярского края</w:t>
      </w:r>
      <w:r w:rsidR="009277F7" w:rsidRPr="008168A0">
        <w:rPr>
          <w:rFonts w:ascii="Times New Roman" w:hAnsi="Times New Roman"/>
          <w:bCs/>
          <w:sz w:val="28"/>
          <w:szCs w:val="28"/>
          <w:lang w:eastAsia="ru-RU"/>
        </w:rPr>
        <w:t xml:space="preserve"> и обеспечить опубликование решения в официальном печатном издании «Сельский вестник» и размещения его на официальном</w:t>
      </w:r>
      <w:r w:rsidR="00D574FF">
        <w:rPr>
          <w:rFonts w:ascii="Times New Roman" w:hAnsi="Times New Roman"/>
          <w:bCs/>
          <w:sz w:val="28"/>
          <w:szCs w:val="28"/>
          <w:lang w:eastAsia="ru-RU"/>
        </w:rPr>
        <w:t xml:space="preserve"> сайте</w:t>
      </w:r>
      <w:r w:rsidR="00D574FF" w:rsidRPr="00D574FF">
        <w:rPr>
          <w:rFonts w:ascii="Times New Roman" w:hAnsi="Times New Roman"/>
          <w:bCs/>
          <w:sz w:val="28"/>
          <w:szCs w:val="28"/>
          <w:lang w:eastAsia="ru-RU"/>
        </w:rPr>
        <w:t xml:space="preserve"> Верхнепашинского сельсовета</w:t>
      </w:r>
      <w:r w:rsidR="0041212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277F7" w:rsidRPr="008168A0" w:rsidRDefault="00950861" w:rsidP="008A7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C10050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9277F7" w:rsidRPr="008168A0">
        <w:rPr>
          <w:rFonts w:ascii="Times New Roman" w:hAnsi="Times New Roman"/>
          <w:bCs/>
          <w:sz w:val="28"/>
          <w:szCs w:val="28"/>
          <w:lang w:eastAsia="ru-RU"/>
        </w:rPr>
        <w:t xml:space="preserve">. Контроль за исполнением настоящего Решения возложить на председателя Верхнепашинского сельского Совета депутатов Енисейского района Красноярского края </w:t>
      </w:r>
      <w:r>
        <w:rPr>
          <w:rFonts w:ascii="Times New Roman" w:hAnsi="Times New Roman"/>
          <w:bCs/>
          <w:sz w:val="28"/>
          <w:szCs w:val="28"/>
          <w:lang w:eastAsia="ru-RU"/>
        </w:rPr>
        <w:t>Демидову М.В.</w:t>
      </w:r>
      <w:r w:rsidR="009277F7" w:rsidRPr="008168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10050" w:rsidRDefault="00950861" w:rsidP="00433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C10050" w:rsidRDefault="00C10050" w:rsidP="00433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10050" w:rsidRDefault="00C10050" w:rsidP="00433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10050" w:rsidRDefault="00C10050" w:rsidP="00433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277F7" w:rsidRPr="008168A0" w:rsidRDefault="00C10050" w:rsidP="00433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>5</w:t>
      </w:r>
      <w:r w:rsidR="009277F7" w:rsidRPr="008168A0">
        <w:rPr>
          <w:rFonts w:ascii="Times New Roman" w:hAnsi="Times New Roman"/>
          <w:bCs/>
          <w:sz w:val="28"/>
          <w:szCs w:val="28"/>
          <w:lang w:eastAsia="ru-RU"/>
        </w:rPr>
        <w:t>. Решение вступает в силу в день, следующий за днем его официального опубликования в информационном издании  Верхнепашинского сельсовета Енисейского района Красноярского края «Сельский вестник».</w:t>
      </w:r>
    </w:p>
    <w:p w:rsidR="009277F7" w:rsidRPr="008168A0" w:rsidRDefault="009277F7" w:rsidP="00206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9277F7" w:rsidRPr="008168A0" w:rsidRDefault="009277F7" w:rsidP="00206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168A0">
        <w:rPr>
          <w:rFonts w:ascii="Times New Roman" w:hAnsi="Times New Roman"/>
          <w:bCs/>
          <w:sz w:val="28"/>
          <w:szCs w:val="28"/>
        </w:rPr>
        <w:t xml:space="preserve">Председатель Совета депутатов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="00950861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950861">
        <w:rPr>
          <w:rFonts w:ascii="Times New Roman" w:hAnsi="Times New Roman"/>
          <w:bCs/>
          <w:sz w:val="28"/>
          <w:szCs w:val="28"/>
        </w:rPr>
        <w:t>М.В. Демидова</w:t>
      </w:r>
    </w:p>
    <w:p w:rsidR="009277F7" w:rsidRPr="008168A0" w:rsidRDefault="009277F7" w:rsidP="00206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50861" w:rsidRDefault="00950861" w:rsidP="00950861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right="-88"/>
        <w:rPr>
          <w:rFonts w:ascii="Times New Roman" w:hAnsi="Times New Roman"/>
          <w:bCs/>
          <w:sz w:val="28"/>
          <w:szCs w:val="28"/>
        </w:rPr>
      </w:pPr>
    </w:p>
    <w:p w:rsidR="009277F7" w:rsidRPr="008168A0" w:rsidRDefault="009277F7" w:rsidP="00950861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right="-88"/>
        <w:rPr>
          <w:rFonts w:ascii="Times New Roman" w:hAnsi="Times New Roman"/>
          <w:iCs/>
          <w:sz w:val="28"/>
          <w:szCs w:val="28"/>
          <w:lang w:eastAsia="ru-RU"/>
        </w:rPr>
        <w:sectPr w:rsidR="009277F7" w:rsidRPr="008168A0" w:rsidSect="00C10050">
          <w:pgSz w:w="11905" w:h="16838" w:code="9"/>
          <w:pgMar w:top="993" w:right="1132" w:bottom="284" w:left="1701" w:header="720" w:footer="720" w:gutter="0"/>
          <w:cols w:space="708"/>
          <w:titlePg/>
          <w:docGrid w:linePitch="254"/>
        </w:sectPr>
      </w:pPr>
      <w:r>
        <w:rPr>
          <w:rFonts w:ascii="Times New Roman" w:hAnsi="Times New Roman"/>
          <w:bCs/>
          <w:sz w:val="28"/>
          <w:szCs w:val="28"/>
        </w:rPr>
        <w:t xml:space="preserve">Глава сельсовета      </w:t>
      </w:r>
      <w:r w:rsidR="0095086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  <w:r w:rsidR="00273C73">
        <w:rPr>
          <w:rFonts w:ascii="Times New Roman" w:hAnsi="Times New Roman"/>
          <w:bCs/>
          <w:sz w:val="28"/>
          <w:szCs w:val="28"/>
        </w:rPr>
        <w:t>Е.И.Чапига</w:t>
      </w:r>
    </w:p>
    <w:p w:rsidR="009277F7" w:rsidRPr="00580B97" w:rsidRDefault="009277F7" w:rsidP="004461CE">
      <w:pPr>
        <w:spacing w:after="0" w:line="240" w:lineRule="auto"/>
        <w:ind w:left="113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к решению </w:t>
      </w:r>
      <w:r w:rsidRPr="00580B97">
        <w:rPr>
          <w:rFonts w:ascii="Times New Roman" w:hAnsi="Times New Roman"/>
        </w:rPr>
        <w:t>Верхнепашинского сельского Совета депутатов</w:t>
      </w:r>
    </w:p>
    <w:p w:rsidR="009277F7" w:rsidRPr="00580B97" w:rsidRDefault="00950861" w:rsidP="004461CE">
      <w:pPr>
        <w:spacing w:after="0" w:line="240" w:lineRule="auto"/>
        <w:ind w:left="113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180E0D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 № </w:t>
      </w:r>
      <w:r w:rsidR="00180E0D">
        <w:rPr>
          <w:rFonts w:ascii="Times New Roman" w:hAnsi="Times New Roman"/>
        </w:rPr>
        <w:t>________</w:t>
      </w:r>
      <w:r w:rsidR="009277F7" w:rsidRPr="00580B9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9277F7" w:rsidRDefault="009277F7" w:rsidP="00580B97">
      <w:pPr>
        <w:jc w:val="center"/>
        <w:rPr>
          <w:rFonts w:ascii="Times New Roman" w:hAnsi="Times New Roman"/>
        </w:rPr>
      </w:pPr>
    </w:p>
    <w:p w:rsidR="009277F7" w:rsidRPr="00580B97" w:rsidRDefault="009277F7" w:rsidP="004461CE">
      <w:pPr>
        <w:spacing w:after="0" w:line="240" w:lineRule="auto"/>
        <w:jc w:val="center"/>
        <w:rPr>
          <w:rFonts w:ascii="Times New Roman" w:hAnsi="Times New Roman"/>
        </w:rPr>
      </w:pPr>
      <w:r w:rsidRPr="00580B97">
        <w:rPr>
          <w:rFonts w:ascii="Times New Roman" w:hAnsi="Times New Roman"/>
        </w:rPr>
        <w:t xml:space="preserve">СХЕМА РАЗМЕЩЕНИЯ НЕСТАЦИОНАРНЫХ ТОРГОВЫХ ОБЪЕКТОВ </w:t>
      </w:r>
    </w:p>
    <w:p w:rsidR="009277F7" w:rsidRDefault="009277F7" w:rsidP="004461CE">
      <w:pPr>
        <w:spacing w:after="0" w:line="240" w:lineRule="auto"/>
        <w:jc w:val="center"/>
        <w:rPr>
          <w:rFonts w:ascii="Times New Roman" w:hAnsi="Times New Roman"/>
        </w:rPr>
      </w:pPr>
      <w:r w:rsidRPr="00580B97">
        <w:rPr>
          <w:rFonts w:ascii="Times New Roman" w:hAnsi="Times New Roman"/>
        </w:rPr>
        <w:t>на территории Верхнепашинского сельсовета Енисейского района Красноярского края</w:t>
      </w:r>
    </w:p>
    <w:p w:rsidR="009277F7" w:rsidRPr="00580B97" w:rsidRDefault="009277F7" w:rsidP="004461C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"/>
        <w:gridCol w:w="1620"/>
        <w:gridCol w:w="2311"/>
        <w:gridCol w:w="1440"/>
        <w:gridCol w:w="1395"/>
        <w:gridCol w:w="1821"/>
        <w:gridCol w:w="2700"/>
        <w:gridCol w:w="1800"/>
        <w:gridCol w:w="2058"/>
      </w:tblGrid>
      <w:tr w:rsidR="009277F7" w:rsidRPr="00441984" w:rsidTr="00180E0D">
        <w:trPr>
          <w:trHeight w:val="1748"/>
        </w:trPr>
        <w:tc>
          <w:tcPr>
            <w:tcW w:w="288" w:type="dxa"/>
          </w:tcPr>
          <w:p w:rsidR="009277F7" w:rsidRPr="00441984" w:rsidRDefault="009277F7" w:rsidP="00446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9277F7" w:rsidRPr="00441984" w:rsidRDefault="009277F7" w:rsidP="00446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77F7" w:rsidRPr="00441984" w:rsidRDefault="009277F7" w:rsidP="004461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277F7" w:rsidRPr="00441984" w:rsidRDefault="009277F7" w:rsidP="004461C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Тип нестационарных торговых  объектов (павильон, киоск, автомагазин, тонар, торговая площадка, другое)</w:t>
            </w:r>
          </w:p>
        </w:tc>
        <w:tc>
          <w:tcPr>
            <w:tcW w:w="2311" w:type="dxa"/>
          </w:tcPr>
          <w:p w:rsidR="009277F7" w:rsidRPr="00441984" w:rsidRDefault="009277F7" w:rsidP="004461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1440" w:type="dxa"/>
          </w:tcPr>
          <w:p w:rsidR="009277F7" w:rsidRPr="00441984" w:rsidRDefault="009277F7" w:rsidP="004461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1395" w:type="dxa"/>
          </w:tcPr>
          <w:p w:rsidR="009277F7" w:rsidRPr="00441984" w:rsidRDefault="00180E0D" w:rsidP="00180E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</w:tc>
        <w:tc>
          <w:tcPr>
            <w:tcW w:w="1821" w:type="dxa"/>
          </w:tcPr>
          <w:p w:rsidR="009277F7" w:rsidRPr="00441984" w:rsidRDefault="009277F7" w:rsidP="00180E0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Площадь торгов</w:t>
            </w:r>
            <w:r w:rsidR="00180E0D"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441984">
              <w:rPr>
                <w:rFonts w:ascii="Times New Roman" w:hAnsi="Times New Roman"/>
                <w:sz w:val="20"/>
                <w:szCs w:val="20"/>
              </w:rPr>
              <w:t xml:space="preserve"> объект</w:t>
            </w:r>
            <w:r w:rsidR="00180E0D">
              <w:rPr>
                <w:rFonts w:ascii="Times New Roman" w:hAnsi="Times New Roman"/>
                <w:sz w:val="20"/>
                <w:szCs w:val="20"/>
              </w:rPr>
              <w:t>а, кв.м.</w:t>
            </w:r>
          </w:p>
        </w:tc>
        <w:tc>
          <w:tcPr>
            <w:tcW w:w="2700" w:type="dxa"/>
          </w:tcPr>
          <w:p w:rsidR="009277F7" w:rsidRPr="00441984" w:rsidRDefault="009277F7" w:rsidP="004461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Вид реализуемой нестационарным торговым объектом продукции</w:t>
            </w:r>
          </w:p>
        </w:tc>
        <w:tc>
          <w:tcPr>
            <w:tcW w:w="1800" w:type="dxa"/>
          </w:tcPr>
          <w:p w:rsidR="009277F7" w:rsidRPr="00441984" w:rsidRDefault="009277F7" w:rsidP="004461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об ис</w:t>
            </w:r>
            <w:r w:rsidRPr="00441984">
              <w:rPr>
                <w:rFonts w:ascii="Times New Roman" w:hAnsi="Times New Roman"/>
                <w:sz w:val="20"/>
                <w:szCs w:val="20"/>
              </w:rPr>
              <w:t>пол</w:t>
            </w:r>
            <w:r>
              <w:rPr>
                <w:rFonts w:ascii="Times New Roman" w:hAnsi="Times New Roman"/>
                <w:sz w:val="20"/>
                <w:szCs w:val="20"/>
              </w:rPr>
              <w:t>ьзовании нестационарного  торго</w:t>
            </w:r>
            <w:r w:rsidRPr="00441984">
              <w:rPr>
                <w:rFonts w:ascii="Times New Roman" w:hAnsi="Times New Roman"/>
                <w:sz w:val="20"/>
                <w:szCs w:val="20"/>
              </w:rPr>
              <w:t>вого объекта субъектами малого или среднего предпринимательства</w:t>
            </w:r>
          </w:p>
        </w:tc>
        <w:tc>
          <w:tcPr>
            <w:tcW w:w="2058" w:type="dxa"/>
          </w:tcPr>
          <w:p w:rsidR="009277F7" w:rsidRPr="00441984" w:rsidRDefault="009277F7" w:rsidP="004461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Период размещения нестационарных торговых объектов</w:t>
            </w:r>
          </w:p>
        </w:tc>
      </w:tr>
      <w:tr w:rsidR="009277F7" w:rsidRPr="00441984" w:rsidTr="00180E0D">
        <w:tc>
          <w:tcPr>
            <w:tcW w:w="288" w:type="dxa"/>
          </w:tcPr>
          <w:p w:rsidR="009277F7" w:rsidRPr="00441984" w:rsidRDefault="009277F7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9277F7" w:rsidRPr="00441984" w:rsidRDefault="009277F7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11" w:type="dxa"/>
          </w:tcPr>
          <w:p w:rsidR="009277F7" w:rsidRPr="00441984" w:rsidRDefault="009277F7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9277F7" w:rsidRPr="00441984" w:rsidRDefault="009277F7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</w:tcPr>
          <w:p w:rsidR="009277F7" w:rsidRPr="00441984" w:rsidRDefault="009277F7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1" w:type="dxa"/>
          </w:tcPr>
          <w:p w:rsidR="009277F7" w:rsidRPr="00441984" w:rsidRDefault="009277F7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:rsidR="009277F7" w:rsidRPr="00441984" w:rsidRDefault="009277F7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9277F7" w:rsidRPr="00441984" w:rsidRDefault="009277F7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58" w:type="dxa"/>
          </w:tcPr>
          <w:p w:rsidR="009277F7" w:rsidRPr="00441984" w:rsidRDefault="009277F7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277F7" w:rsidRPr="00441984" w:rsidTr="00180E0D">
        <w:tc>
          <w:tcPr>
            <w:tcW w:w="288" w:type="dxa"/>
          </w:tcPr>
          <w:p w:rsidR="009277F7" w:rsidRPr="00441984" w:rsidRDefault="009277F7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vMerge w:val="restart"/>
          </w:tcPr>
          <w:p w:rsidR="009277F7" w:rsidRPr="00441984" w:rsidRDefault="009277F7" w:rsidP="00BA2803">
            <w:pPr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Автомагазин (автолавка)</w:t>
            </w:r>
          </w:p>
          <w:p w:rsidR="009277F7" w:rsidRPr="00441984" w:rsidRDefault="009277F7" w:rsidP="00BA2803">
            <w:pPr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  <w:p w:rsidR="009277F7" w:rsidRPr="00441984" w:rsidRDefault="009277F7" w:rsidP="00BA2803">
            <w:pPr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2311" w:type="dxa"/>
            <w:vAlign w:val="center"/>
          </w:tcPr>
          <w:p w:rsidR="00180E0D" w:rsidRPr="00441984" w:rsidRDefault="009277F7" w:rsidP="00180E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Енисейский район,                    с. Верхнепашино, ул.</w:t>
            </w:r>
            <w:r w:rsidR="009508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1984">
              <w:rPr>
                <w:rFonts w:ascii="Times New Roman" w:hAnsi="Times New Roman"/>
                <w:sz w:val="20"/>
                <w:szCs w:val="20"/>
              </w:rPr>
              <w:t>Геофизиков, 10</w:t>
            </w:r>
            <w:r w:rsidR="00180E0D">
              <w:rPr>
                <w:rFonts w:ascii="Times New Roman" w:hAnsi="Times New Roman"/>
                <w:sz w:val="20"/>
                <w:szCs w:val="20"/>
              </w:rPr>
              <w:t xml:space="preserve"> 24:12:0380118:604</w:t>
            </w:r>
          </w:p>
        </w:tc>
        <w:tc>
          <w:tcPr>
            <w:tcW w:w="1440" w:type="dxa"/>
            <w:vAlign w:val="center"/>
          </w:tcPr>
          <w:p w:rsidR="009277F7" w:rsidRPr="00441984" w:rsidRDefault="009277F7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5" w:type="dxa"/>
            <w:vAlign w:val="center"/>
          </w:tcPr>
          <w:p w:rsidR="009277F7" w:rsidRPr="00441984" w:rsidRDefault="00180E0D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кв.м.</w:t>
            </w:r>
          </w:p>
        </w:tc>
        <w:tc>
          <w:tcPr>
            <w:tcW w:w="1821" w:type="dxa"/>
            <w:vAlign w:val="center"/>
          </w:tcPr>
          <w:p w:rsidR="009277F7" w:rsidRPr="00441984" w:rsidRDefault="009277F7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700" w:type="dxa"/>
            <w:vMerge w:val="restart"/>
          </w:tcPr>
          <w:p w:rsidR="009277F7" w:rsidRPr="00441984" w:rsidRDefault="009277F7" w:rsidP="00BA2803">
            <w:pPr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Общественное питание, мелкороз-</w:t>
            </w:r>
          </w:p>
          <w:p w:rsidR="009277F7" w:rsidRPr="00441984" w:rsidRDefault="009277F7" w:rsidP="00BA2803">
            <w:pPr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ничная торговля продуктами питания и пром. товарами</w:t>
            </w:r>
          </w:p>
        </w:tc>
        <w:tc>
          <w:tcPr>
            <w:tcW w:w="1800" w:type="dxa"/>
          </w:tcPr>
          <w:p w:rsidR="009277F7" w:rsidRPr="00441984" w:rsidRDefault="009277F7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9277F7" w:rsidRPr="00441984" w:rsidRDefault="009277F7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С 01 апреля по 1 ноября</w:t>
            </w:r>
          </w:p>
        </w:tc>
      </w:tr>
      <w:tr w:rsidR="009277F7" w:rsidRPr="00441984" w:rsidTr="00180E0D">
        <w:tc>
          <w:tcPr>
            <w:tcW w:w="288" w:type="dxa"/>
          </w:tcPr>
          <w:p w:rsidR="009277F7" w:rsidRPr="00441984" w:rsidRDefault="009277F7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</w:tcPr>
          <w:p w:rsidR="009277F7" w:rsidRPr="00441984" w:rsidRDefault="009277F7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9277F7" w:rsidRPr="00441984" w:rsidRDefault="009277F7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Енисейский район,                    с. Верхнепашино, ул. Советская, 38</w:t>
            </w:r>
            <w:r w:rsidR="00180E0D">
              <w:rPr>
                <w:rFonts w:ascii="Times New Roman" w:hAnsi="Times New Roman"/>
                <w:sz w:val="20"/>
                <w:szCs w:val="20"/>
              </w:rPr>
              <w:t xml:space="preserve"> 24:12:0380105:22</w:t>
            </w:r>
          </w:p>
        </w:tc>
        <w:tc>
          <w:tcPr>
            <w:tcW w:w="1440" w:type="dxa"/>
            <w:vAlign w:val="center"/>
          </w:tcPr>
          <w:p w:rsidR="009277F7" w:rsidRPr="00441984" w:rsidRDefault="009277F7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5" w:type="dxa"/>
            <w:vAlign w:val="center"/>
          </w:tcPr>
          <w:p w:rsidR="009277F7" w:rsidRPr="00441984" w:rsidRDefault="00180E0D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2049 кв.м.</w:t>
            </w:r>
          </w:p>
        </w:tc>
        <w:tc>
          <w:tcPr>
            <w:tcW w:w="1821" w:type="dxa"/>
            <w:vAlign w:val="center"/>
          </w:tcPr>
          <w:p w:rsidR="009277F7" w:rsidRPr="00441984" w:rsidRDefault="009277F7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700" w:type="dxa"/>
            <w:vMerge/>
          </w:tcPr>
          <w:p w:rsidR="009277F7" w:rsidRPr="00441984" w:rsidRDefault="009277F7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77F7" w:rsidRPr="00441984" w:rsidRDefault="009277F7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9277F7" w:rsidRPr="00441984" w:rsidRDefault="009277F7" w:rsidP="00BA2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984">
              <w:rPr>
                <w:rFonts w:ascii="Times New Roman" w:hAnsi="Times New Roman"/>
                <w:sz w:val="20"/>
                <w:szCs w:val="20"/>
              </w:rPr>
              <w:t>С 01 апреля по 1 ноября</w:t>
            </w:r>
          </w:p>
        </w:tc>
      </w:tr>
    </w:tbl>
    <w:p w:rsidR="009277F7" w:rsidRPr="00441984" w:rsidRDefault="009277F7" w:rsidP="00EA145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4086"/>
        <w:jc w:val="both"/>
        <w:outlineLvl w:val="3"/>
        <w:rPr>
          <w:rFonts w:ascii="Times New Roman" w:hAnsi="Times New Roman"/>
          <w:sz w:val="20"/>
          <w:szCs w:val="20"/>
        </w:rPr>
      </w:pPr>
    </w:p>
    <w:sectPr w:rsidR="009277F7" w:rsidRPr="00441984" w:rsidSect="00441984">
      <w:pgSz w:w="16838" w:h="11906" w:orient="landscape"/>
      <w:pgMar w:top="1134" w:right="117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742" w:rsidRDefault="008E7742" w:rsidP="00B4410D">
      <w:pPr>
        <w:spacing w:after="0" w:line="240" w:lineRule="auto"/>
      </w:pPr>
      <w:r>
        <w:separator/>
      </w:r>
    </w:p>
  </w:endnote>
  <w:endnote w:type="continuationSeparator" w:id="0">
    <w:p w:rsidR="008E7742" w:rsidRDefault="008E7742" w:rsidP="00B4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742" w:rsidRDefault="008E7742" w:rsidP="00B4410D">
      <w:pPr>
        <w:spacing w:after="0" w:line="240" w:lineRule="auto"/>
      </w:pPr>
      <w:r>
        <w:separator/>
      </w:r>
    </w:p>
  </w:footnote>
  <w:footnote w:type="continuationSeparator" w:id="0">
    <w:p w:rsidR="008E7742" w:rsidRDefault="008E7742" w:rsidP="00B441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03"/>
    <w:rsid w:val="00004306"/>
    <w:rsid w:val="000453EA"/>
    <w:rsid w:val="00047985"/>
    <w:rsid w:val="000602A4"/>
    <w:rsid w:val="000A799E"/>
    <w:rsid w:val="000B100C"/>
    <w:rsid w:val="000B410C"/>
    <w:rsid w:val="00115BC5"/>
    <w:rsid w:val="001200DF"/>
    <w:rsid w:val="00133271"/>
    <w:rsid w:val="001516A2"/>
    <w:rsid w:val="00167F47"/>
    <w:rsid w:val="001726A8"/>
    <w:rsid w:val="00174473"/>
    <w:rsid w:val="00180E0D"/>
    <w:rsid w:val="00183360"/>
    <w:rsid w:val="001877D7"/>
    <w:rsid w:val="001D1292"/>
    <w:rsid w:val="001F1797"/>
    <w:rsid w:val="00206790"/>
    <w:rsid w:val="00215674"/>
    <w:rsid w:val="00273B19"/>
    <w:rsid w:val="00273C73"/>
    <w:rsid w:val="002846C1"/>
    <w:rsid w:val="00284E90"/>
    <w:rsid w:val="002A114B"/>
    <w:rsid w:val="002A61B2"/>
    <w:rsid w:val="002C5F07"/>
    <w:rsid w:val="003426E0"/>
    <w:rsid w:val="00345D9E"/>
    <w:rsid w:val="00372DDC"/>
    <w:rsid w:val="003B7C24"/>
    <w:rsid w:val="003C0433"/>
    <w:rsid w:val="003C1F83"/>
    <w:rsid w:val="003F1264"/>
    <w:rsid w:val="003F2CEF"/>
    <w:rsid w:val="003F3E77"/>
    <w:rsid w:val="003F60EB"/>
    <w:rsid w:val="00411C4A"/>
    <w:rsid w:val="00412120"/>
    <w:rsid w:val="00413085"/>
    <w:rsid w:val="00433C01"/>
    <w:rsid w:val="00441984"/>
    <w:rsid w:val="004461CE"/>
    <w:rsid w:val="004F3E2F"/>
    <w:rsid w:val="00505FF5"/>
    <w:rsid w:val="005373AD"/>
    <w:rsid w:val="00542A97"/>
    <w:rsid w:val="005742EB"/>
    <w:rsid w:val="00580B97"/>
    <w:rsid w:val="0058480C"/>
    <w:rsid w:val="005A1021"/>
    <w:rsid w:val="005A78D5"/>
    <w:rsid w:val="005B077E"/>
    <w:rsid w:val="005D2218"/>
    <w:rsid w:val="005F72F1"/>
    <w:rsid w:val="00604002"/>
    <w:rsid w:val="00614711"/>
    <w:rsid w:val="006945D3"/>
    <w:rsid w:val="006B214A"/>
    <w:rsid w:val="006C7BF7"/>
    <w:rsid w:val="0073101D"/>
    <w:rsid w:val="007653B4"/>
    <w:rsid w:val="00767E0E"/>
    <w:rsid w:val="00773959"/>
    <w:rsid w:val="007743F0"/>
    <w:rsid w:val="00784962"/>
    <w:rsid w:val="00785E70"/>
    <w:rsid w:val="007910CB"/>
    <w:rsid w:val="007C2844"/>
    <w:rsid w:val="007D3B3A"/>
    <w:rsid w:val="00802FB0"/>
    <w:rsid w:val="008168A0"/>
    <w:rsid w:val="008A7368"/>
    <w:rsid w:val="008A7C47"/>
    <w:rsid w:val="008D4803"/>
    <w:rsid w:val="008E7742"/>
    <w:rsid w:val="0090691A"/>
    <w:rsid w:val="0092432D"/>
    <w:rsid w:val="009277F7"/>
    <w:rsid w:val="00942350"/>
    <w:rsid w:val="009444D8"/>
    <w:rsid w:val="00950861"/>
    <w:rsid w:val="00961870"/>
    <w:rsid w:val="00970A75"/>
    <w:rsid w:val="009A2BA9"/>
    <w:rsid w:val="009A4C1C"/>
    <w:rsid w:val="009A7F40"/>
    <w:rsid w:val="009B7180"/>
    <w:rsid w:val="009C1BBA"/>
    <w:rsid w:val="009C39DD"/>
    <w:rsid w:val="009D3A29"/>
    <w:rsid w:val="009E1719"/>
    <w:rsid w:val="009E5274"/>
    <w:rsid w:val="009F408E"/>
    <w:rsid w:val="00A21277"/>
    <w:rsid w:val="00A22794"/>
    <w:rsid w:val="00A6323C"/>
    <w:rsid w:val="00A677A5"/>
    <w:rsid w:val="00A74B0A"/>
    <w:rsid w:val="00A77D55"/>
    <w:rsid w:val="00AA5A63"/>
    <w:rsid w:val="00AB1EFC"/>
    <w:rsid w:val="00AC2934"/>
    <w:rsid w:val="00AD0D1F"/>
    <w:rsid w:val="00AD7790"/>
    <w:rsid w:val="00AE6419"/>
    <w:rsid w:val="00B4410D"/>
    <w:rsid w:val="00B85B0F"/>
    <w:rsid w:val="00BA2803"/>
    <w:rsid w:val="00C04BE6"/>
    <w:rsid w:val="00C10050"/>
    <w:rsid w:val="00C311C0"/>
    <w:rsid w:val="00C51A0B"/>
    <w:rsid w:val="00CA2EDD"/>
    <w:rsid w:val="00CC4285"/>
    <w:rsid w:val="00CC5CCD"/>
    <w:rsid w:val="00CD2084"/>
    <w:rsid w:val="00D012D6"/>
    <w:rsid w:val="00D43F9C"/>
    <w:rsid w:val="00D5301F"/>
    <w:rsid w:val="00D574FF"/>
    <w:rsid w:val="00D67404"/>
    <w:rsid w:val="00DD770C"/>
    <w:rsid w:val="00DF1311"/>
    <w:rsid w:val="00E1368E"/>
    <w:rsid w:val="00E13E36"/>
    <w:rsid w:val="00E160B1"/>
    <w:rsid w:val="00E225AC"/>
    <w:rsid w:val="00E2422B"/>
    <w:rsid w:val="00E41711"/>
    <w:rsid w:val="00EA1455"/>
    <w:rsid w:val="00F10F83"/>
    <w:rsid w:val="00F415EA"/>
    <w:rsid w:val="00F45038"/>
    <w:rsid w:val="00F57A6F"/>
    <w:rsid w:val="00F90E3F"/>
    <w:rsid w:val="00FB4FE5"/>
    <w:rsid w:val="00FC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C57A80-2FF6-4998-95C3-FF53B584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1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691A"/>
    <w:rPr>
      <w:rFonts w:ascii="Tahoma" w:hAnsi="Tahoma" w:cs="Tahoma"/>
      <w:sz w:val="16"/>
      <w:szCs w:val="16"/>
      <w:lang w:eastAsia="en-US"/>
    </w:rPr>
  </w:style>
  <w:style w:type="paragraph" w:styleId="a5">
    <w:name w:val="footer"/>
    <w:basedOn w:val="a"/>
    <w:link w:val="a6"/>
    <w:uiPriority w:val="99"/>
    <w:rsid w:val="00B441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4410D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441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B4410D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4410D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73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3101D"/>
    <w:rPr>
      <w:rFonts w:cs="Times New Roman"/>
      <w:lang w:eastAsia="en-US"/>
    </w:rPr>
  </w:style>
  <w:style w:type="character" w:styleId="ac">
    <w:name w:val="Hyperlink"/>
    <w:basedOn w:val="a0"/>
    <w:uiPriority w:val="99"/>
    <w:rsid w:val="00206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1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B7DAD0A4264D8FB89A6F4E6A4CD326FC00E135D54CBE9D28E264FDB44BD150CE9E8E69CFF68B923CE65E76w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ПОЛОЖЕНИИ О ТЕРРИТОРИАЛЬНОМ ОБЩЕСТВЕННОМ</vt:lpstr>
    </vt:vector>
  </TitlesOfParts>
  <Company>Home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ПОЛОЖЕНИИ О ТЕРРИТОРИАЛЬНОМ ОБЩЕСТВЕННОМ</dc:title>
  <dc:creator>Elistratova</dc:creator>
  <cp:lastModifiedBy>User</cp:lastModifiedBy>
  <cp:revision>2</cp:revision>
  <cp:lastPrinted>2025-01-15T03:37:00Z</cp:lastPrinted>
  <dcterms:created xsi:type="dcterms:W3CDTF">2025-01-15T03:41:00Z</dcterms:created>
  <dcterms:modified xsi:type="dcterms:W3CDTF">2025-01-15T03:41:00Z</dcterms:modified>
</cp:coreProperties>
</file>